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9AE6" w14:textId="2068B3EC" w:rsidR="00E141DF" w:rsidRDefault="00C644BC" w:rsidP="002864AA">
      <w:pPr>
        <w:jc w:val="center"/>
      </w:pPr>
      <w:r>
        <w:t>Annexe</w:t>
      </w:r>
      <w:r w:rsidR="00115496">
        <w:t xml:space="preserve"> au communiqué de presse</w:t>
      </w:r>
    </w:p>
    <w:p w14:paraId="196EB7E5" w14:textId="77777777" w:rsidR="006A353E" w:rsidRDefault="006A353E" w:rsidP="00C644BC">
      <w:pPr>
        <w:jc w:val="both"/>
      </w:pPr>
    </w:p>
    <w:p w14:paraId="35A4A6A6" w14:textId="587DD227" w:rsidR="00C644BC" w:rsidRPr="00654D88" w:rsidRDefault="00B14C54" w:rsidP="00654D88">
      <w:pPr>
        <w:pStyle w:val="Paragraphedeliste"/>
        <w:numPr>
          <w:ilvl w:val="0"/>
          <w:numId w:val="1"/>
        </w:numPr>
        <w:jc w:val="both"/>
        <w:rPr>
          <w:b/>
          <w:bCs/>
        </w:rPr>
      </w:pPr>
      <w:r>
        <w:rPr>
          <w:b/>
          <w:bCs/>
        </w:rPr>
        <w:t>Conjuguer</w:t>
      </w:r>
      <w:r w:rsidR="00654D88">
        <w:rPr>
          <w:b/>
          <w:bCs/>
        </w:rPr>
        <w:t xml:space="preserve"> s</w:t>
      </w:r>
      <w:r w:rsidR="00C644BC" w:rsidRPr="00654D88">
        <w:rPr>
          <w:b/>
          <w:bCs/>
        </w:rPr>
        <w:t>ki et diversification</w:t>
      </w:r>
    </w:p>
    <w:p w14:paraId="1617FD8F" w14:textId="77777777" w:rsidR="00C644BC" w:rsidRDefault="00C644BC" w:rsidP="00C644BC">
      <w:pPr>
        <w:jc w:val="both"/>
      </w:pPr>
      <w:r>
        <w:t>Le ski est l’élément différenciant du tourisme en montagne. En la matière, la France a acquis une réputation internationale tant pour la qualité de ses domaines skiables et de son accueil que pour l’excellence de ses secours en montagne.</w:t>
      </w:r>
    </w:p>
    <w:p w14:paraId="31671597" w14:textId="5A05F0C4" w:rsidR="00C644BC" w:rsidRDefault="00C644BC" w:rsidP="00C644BC">
      <w:pPr>
        <w:jc w:val="both"/>
      </w:pPr>
      <w:r>
        <w:t>Si le rapport indique que les retombées économiques des activités estivales sont mal évaluées aujourd’hui faute d’étude très précise, il n’en demeure pas moins que le panier des dépenses par touriste l’été et l’hiver est incomparable. Le succès populaire des vacances d’été n’a pas de retombées économiques équivalentes. Selon Atout France, les dépenses touristiques en station seraient de 2,4 milliards € en été contre plus de 8 milliards € en hiver.</w:t>
      </w:r>
    </w:p>
    <w:p w14:paraId="5AB41600" w14:textId="58A5BE72" w:rsidR="00C644BC" w:rsidRDefault="00C644BC" w:rsidP="00C644BC">
      <w:pPr>
        <w:jc w:val="both"/>
      </w:pPr>
      <w:r>
        <w:t xml:space="preserve">La saison 2020/21 pendant laquelle les remontées mécaniques sont restées fermées a particulièrement marqué la montagne. Elle donne une illustration de la persistance du ski, que la Cour échoue à présenter de manière claire : </w:t>
      </w:r>
      <w:r w:rsidR="00616C1A">
        <w:t xml:space="preserve">non seulement </w:t>
      </w:r>
      <w:r>
        <w:t xml:space="preserve">la fréquentation </w:t>
      </w:r>
      <w:r w:rsidR="00616C1A">
        <w:t xml:space="preserve">a été divisée par 2 </w:t>
      </w:r>
      <w:r>
        <w:t xml:space="preserve">cet hiver-là, </w:t>
      </w:r>
      <w:r w:rsidR="00616C1A">
        <w:t xml:space="preserve">mais </w:t>
      </w:r>
      <w:r>
        <w:t>l’emploi et les retombées économiques ont été divisés par 3.</w:t>
      </w:r>
    </w:p>
    <w:p w14:paraId="49BCD72A" w14:textId="0A2B6642" w:rsidR="00C644BC" w:rsidRDefault="00C644BC" w:rsidP="00C644BC">
      <w:pPr>
        <w:jc w:val="both"/>
      </w:pPr>
      <w:r>
        <w:t xml:space="preserve">Dans de nombreuses stations, les recettes générées durant la saison d’hiver permettent d’engager l’adaptation des stations. </w:t>
      </w:r>
      <w:r w:rsidR="00616C1A">
        <w:t>Sans ces recettes, les</w:t>
      </w:r>
      <w:r>
        <w:t xml:space="preserve"> stations </w:t>
      </w:r>
      <w:r w:rsidR="00616C1A">
        <w:t xml:space="preserve">concernées </w:t>
      </w:r>
      <w:r>
        <w:t>n’auraient pas les moyens de financer seules leur adaptation, dans un contexte budgétaire très contraint.</w:t>
      </w:r>
    </w:p>
    <w:p w14:paraId="6C9745F0" w14:textId="77777777" w:rsidR="00C644BC" w:rsidRDefault="00C644BC" w:rsidP="00C644BC">
      <w:pPr>
        <w:jc w:val="both"/>
      </w:pPr>
    </w:p>
    <w:p w14:paraId="026306AC" w14:textId="66732A42" w:rsidR="00C644BC" w:rsidRPr="00654D88" w:rsidRDefault="00C644BC" w:rsidP="00654D88">
      <w:pPr>
        <w:pStyle w:val="Paragraphedeliste"/>
        <w:numPr>
          <w:ilvl w:val="0"/>
          <w:numId w:val="1"/>
        </w:numPr>
        <w:jc w:val="both"/>
        <w:rPr>
          <w:b/>
          <w:bCs/>
        </w:rPr>
      </w:pPr>
      <w:r w:rsidRPr="00654D88">
        <w:rPr>
          <w:b/>
          <w:bCs/>
        </w:rPr>
        <w:t>Gouvernance</w:t>
      </w:r>
      <w:r w:rsidR="00654D88">
        <w:rPr>
          <w:b/>
          <w:bCs/>
        </w:rPr>
        <w:t xml:space="preserve"> des stations de montagne</w:t>
      </w:r>
    </w:p>
    <w:p w14:paraId="3D994C8D" w14:textId="21311598" w:rsidR="002864AA" w:rsidRDefault="00C644BC" w:rsidP="002864AA">
      <w:pPr>
        <w:jc w:val="both"/>
      </w:pPr>
      <w:r>
        <w:t xml:space="preserve">La loi française confie </w:t>
      </w:r>
      <w:r w:rsidR="00616C1A">
        <w:t xml:space="preserve">aux élus communaux </w:t>
      </w:r>
      <w:r>
        <w:t xml:space="preserve">la décision </w:t>
      </w:r>
      <w:r w:rsidR="00616C1A">
        <w:t xml:space="preserve">d’avoir </w:t>
      </w:r>
      <w:r>
        <w:t xml:space="preserve">ou non des remontées mécaniques sur </w:t>
      </w:r>
      <w:r w:rsidR="00616C1A">
        <w:t>leur</w:t>
      </w:r>
      <w:r>
        <w:t xml:space="preserve"> territoire</w:t>
      </w:r>
      <w:r w:rsidR="00B14C54">
        <w:t>,</w:t>
      </w:r>
      <w:r w:rsidR="002864AA">
        <w:t xml:space="preserve"> </w:t>
      </w:r>
      <w:r w:rsidR="00616C1A">
        <w:t xml:space="preserve">et cela obligatoirement </w:t>
      </w:r>
      <w:r w:rsidR="002864AA">
        <w:t>sous la forme d’un service public.</w:t>
      </w:r>
    </w:p>
    <w:p w14:paraId="2328395F" w14:textId="17E9B57C" w:rsidR="00B14C54" w:rsidRDefault="00B14C54" w:rsidP="00C644BC">
      <w:pPr>
        <w:jc w:val="both"/>
      </w:pPr>
      <w:r>
        <w:t>Dans leurs choix, les élus</w:t>
      </w:r>
      <w:r w:rsidR="009B2D24">
        <w:t xml:space="preserve"> </w:t>
      </w:r>
      <w:r>
        <w:t xml:space="preserve">des communes tiennent naturellement </w:t>
      </w:r>
      <w:r w:rsidR="009B2D24">
        <w:t>compte de l’équilibre des recettes et des dépenses</w:t>
      </w:r>
      <w:r w:rsidR="00F35893">
        <w:t> :</w:t>
      </w:r>
      <w:r w:rsidR="009B2D24">
        <w:t xml:space="preserve"> les recettes </w:t>
      </w:r>
      <w:r w:rsidR="00F35893">
        <w:t xml:space="preserve">pour la collectivité </w:t>
      </w:r>
      <w:r w:rsidR="009B2D24">
        <w:t>inclu</w:t>
      </w:r>
      <w:r w:rsidR="00F35893">
        <w:t>e</w:t>
      </w:r>
      <w:r w:rsidR="009B2D24">
        <w:t>nt</w:t>
      </w:r>
      <w:r>
        <w:t xml:space="preserve"> </w:t>
      </w:r>
      <w:r w:rsidR="009B2D24">
        <w:t xml:space="preserve">les </w:t>
      </w:r>
      <w:r w:rsidR="002864AA">
        <w:t xml:space="preserve">taxes de séjour, </w:t>
      </w:r>
      <w:r w:rsidR="00F35893">
        <w:t>l</w:t>
      </w:r>
      <w:r w:rsidR="009B2D24">
        <w:t xml:space="preserve">es </w:t>
      </w:r>
      <w:r w:rsidR="002864AA">
        <w:t xml:space="preserve">redevances d’exploitation, </w:t>
      </w:r>
      <w:r w:rsidR="00F35893">
        <w:t>l</w:t>
      </w:r>
      <w:r w:rsidR="009B2D24">
        <w:t xml:space="preserve">es </w:t>
      </w:r>
      <w:r w:rsidR="002864AA">
        <w:t xml:space="preserve">taxes d’habitation, </w:t>
      </w:r>
      <w:r w:rsidR="00F35893">
        <w:t>l</w:t>
      </w:r>
      <w:r w:rsidR="009B2D24">
        <w:t xml:space="preserve">es </w:t>
      </w:r>
      <w:r w:rsidR="002864AA">
        <w:t xml:space="preserve">droits de mutations et </w:t>
      </w:r>
      <w:r w:rsidR="00F35893">
        <w:t xml:space="preserve">les </w:t>
      </w:r>
      <w:r w:rsidR="002864AA">
        <w:t>autres recettes publiques induites par la fréquentation touristique</w:t>
      </w:r>
      <w:r w:rsidR="009B2D24">
        <w:t>.</w:t>
      </w:r>
    </w:p>
    <w:p w14:paraId="4C840D18" w14:textId="41F06032" w:rsidR="002864AA" w:rsidRDefault="009B2D24" w:rsidP="00C644BC">
      <w:pPr>
        <w:jc w:val="both"/>
      </w:pPr>
      <w:r>
        <w:t xml:space="preserve">Mais </w:t>
      </w:r>
      <w:r w:rsidR="00F35893">
        <w:t>la recherche d’une</w:t>
      </w:r>
      <w:r>
        <w:t xml:space="preserve"> rentabilité ne peut pas être le seul critère</w:t>
      </w:r>
      <w:r w:rsidR="00F35893">
        <w:t xml:space="preserve"> pour la collectivité</w:t>
      </w:r>
      <w:r>
        <w:t> : l’activité et l’emploi induits sur le territoire</w:t>
      </w:r>
      <w:r w:rsidR="00F35893">
        <w:t xml:space="preserve"> sont également importants</w:t>
      </w:r>
      <w:r>
        <w:t xml:space="preserve">. Les collectivités sont </w:t>
      </w:r>
      <w:r w:rsidR="00F35893">
        <w:t xml:space="preserve">en effet régulièrement </w:t>
      </w:r>
      <w:r>
        <w:t>appelées</w:t>
      </w:r>
      <w:r w:rsidR="00F35893">
        <w:t>,</w:t>
      </w:r>
      <w:r>
        <w:t xml:space="preserve"> et c’est normal, à subventionner un certain nombre d’activités </w:t>
      </w:r>
      <w:r w:rsidR="00F35893">
        <w:t xml:space="preserve">sans recherche de </w:t>
      </w:r>
      <w:r>
        <w:t>rentabilité. A fortiori lorsqu’il s’agit d’un service public déficitaire.</w:t>
      </w:r>
      <w:r w:rsidR="00F35893">
        <w:t xml:space="preserve"> A cet égard, il est surprenant que la notion même de subvention d’un domaine skiable (subvention d’exploitation ou d’investissement) soit pointée du doigt par la Cour des comptes.</w:t>
      </w:r>
    </w:p>
    <w:p w14:paraId="31F711D3" w14:textId="4B473389" w:rsidR="00654D88" w:rsidRDefault="009B2D24" w:rsidP="00C644BC">
      <w:pPr>
        <w:jc w:val="both"/>
      </w:pPr>
      <w:r>
        <w:t>Les élus communaux sont conscients des liens étroits que leur collectivité entretien</w:t>
      </w:r>
      <w:r w:rsidR="00B14C54">
        <w:t>t</w:t>
      </w:r>
      <w:r>
        <w:t xml:space="preserve"> avec le territoire valléen, notamment en matière de mobilité, </w:t>
      </w:r>
      <w:r w:rsidR="00654D88">
        <w:t xml:space="preserve">de gestion de l’énergie et des déchets qui sont des sujets structurant de la coopération entre collectivités d’un même territoire. Le tourisme estival aussi gagne à être coordonné à l’échelle </w:t>
      </w:r>
      <w:r w:rsidR="00F35893">
        <w:t>de la vallée</w:t>
      </w:r>
      <w:r w:rsidR="00654D88">
        <w:t>. Mais la spécificité hivernale des stations de montagne n’est pas toujours mieux gérée loin du terrain et il faut se garder des généralités.</w:t>
      </w:r>
    </w:p>
    <w:p w14:paraId="377F1085" w14:textId="2C52EA0C" w:rsidR="00C644BC" w:rsidRDefault="00F35893" w:rsidP="00C644BC">
      <w:pPr>
        <w:jc w:val="both"/>
      </w:pPr>
      <w:r>
        <w:lastRenderedPageBreak/>
        <w:t>D’ailleurs, l</w:t>
      </w:r>
      <w:r w:rsidR="00654D88">
        <w:t xml:space="preserve">es cas </w:t>
      </w:r>
      <w:r w:rsidR="00B14C54">
        <w:t xml:space="preserve">à l’étranger </w:t>
      </w:r>
      <w:r w:rsidR="00654D88">
        <w:t xml:space="preserve">cités </w:t>
      </w:r>
      <w:r w:rsidR="00B14C54">
        <w:t xml:space="preserve">comme des </w:t>
      </w:r>
      <w:r w:rsidR="00654D88">
        <w:t>exemple</w:t>
      </w:r>
      <w:r w:rsidR="00B14C54">
        <w:t>s</w:t>
      </w:r>
      <w:r w:rsidR="00654D88">
        <w:t xml:space="preserve"> par la Cour des Comptes sont davantage des accords commerciaux passés entre exploitants privés (Andorre, Dolomites) que des exemples de gestion intercommunale publique du service des remontées mécaniques.</w:t>
      </w:r>
    </w:p>
    <w:p w14:paraId="233C7F5B" w14:textId="77777777" w:rsidR="00C644BC" w:rsidRDefault="00C644BC" w:rsidP="00C644BC">
      <w:pPr>
        <w:jc w:val="both"/>
      </w:pPr>
    </w:p>
    <w:p w14:paraId="0E5B1306" w14:textId="1F19AF40" w:rsidR="00C644BC" w:rsidRPr="00B45061" w:rsidRDefault="00654D88" w:rsidP="00C644BC">
      <w:pPr>
        <w:pStyle w:val="Paragraphedeliste"/>
        <w:numPr>
          <w:ilvl w:val="0"/>
          <w:numId w:val="1"/>
        </w:numPr>
        <w:jc w:val="both"/>
        <w:rPr>
          <w:b/>
          <w:bCs/>
        </w:rPr>
      </w:pPr>
      <w:r>
        <w:rPr>
          <w:b/>
          <w:bCs/>
        </w:rPr>
        <w:t>G</w:t>
      </w:r>
      <w:r w:rsidR="00C644BC" w:rsidRPr="00B45061">
        <w:rPr>
          <w:b/>
          <w:bCs/>
        </w:rPr>
        <w:t xml:space="preserve">estion de l’eau et neige de culture </w:t>
      </w:r>
    </w:p>
    <w:p w14:paraId="3354220E" w14:textId="6BCB2386" w:rsidR="00654D88" w:rsidRDefault="00654D88" w:rsidP="00C644BC">
      <w:pPr>
        <w:jc w:val="both"/>
      </w:pPr>
      <w:r>
        <w:t>L</w:t>
      </w:r>
      <w:r w:rsidR="00C644BC">
        <w:t xml:space="preserve">a neige de culture </w:t>
      </w:r>
      <w:r>
        <w:t>améliore nettement le modèle économique des domaines skiables et sa résilience aux aléas météorologique sur les 3 à 5 mois d’une saison d’hiver</w:t>
      </w:r>
      <w:r w:rsidR="00C644BC">
        <w:t>.</w:t>
      </w:r>
      <w:r w:rsidR="00AB538E">
        <w:t xml:space="preserve"> Ce point est démontré par les études </w:t>
      </w:r>
      <w:proofErr w:type="spellStart"/>
      <w:r w:rsidR="00AB538E">
        <w:t>Climsnow</w:t>
      </w:r>
      <w:proofErr w:type="spellEnd"/>
      <w:r w:rsidR="00AB538E">
        <w:t xml:space="preserve"> désormais largement répandues et il faut rappeler que la France reste le pays le moins couvert en neige de culture parmi ses concurrents.</w:t>
      </w:r>
    </w:p>
    <w:p w14:paraId="5AE57BDD" w14:textId="43527A3A" w:rsidR="001C70DE" w:rsidRDefault="00AB538E" w:rsidP="00C644BC">
      <w:pPr>
        <w:jc w:val="both"/>
      </w:pPr>
      <w:r>
        <w:t>Pour une approche objective de ce sujet, i</w:t>
      </w:r>
      <w:r w:rsidR="00C644BC">
        <w:t xml:space="preserve">l est important de rappeler </w:t>
      </w:r>
      <w:r w:rsidR="00B14C54">
        <w:t>que l’eau de la neige de culture constitue généralement une petite fraction des prélèvements du territoire.</w:t>
      </w:r>
      <w:r w:rsidR="001C70DE">
        <w:t xml:space="preserve"> </w:t>
      </w:r>
      <w:r w:rsidR="001C70DE" w:rsidRPr="000F367A">
        <w:t xml:space="preserve">Dans le département de la Savoie par exemple, </w:t>
      </w:r>
      <w:r w:rsidR="00F35893">
        <w:t xml:space="preserve">l’eau </w:t>
      </w:r>
      <w:r w:rsidR="001C70DE" w:rsidRPr="000F367A">
        <w:t>dédié</w:t>
      </w:r>
      <w:r w:rsidR="00F35893">
        <w:t>e</w:t>
      </w:r>
      <w:r w:rsidR="001C70DE" w:rsidRPr="000F367A">
        <w:t xml:space="preserve"> à la neige d</w:t>
      </w:r>
      <w:r w:rsidR="00F35893">
        <w:t>e</w:t>
      </w:r>
      <w:r w:rsidR="001C70DE" w:rsidRPr="000F367A">
        <w:t xml:space="preserve"> culture </w:t>
      </w:r>
      <w:r w:rsidR="00F35893">
        <w:t xml:space="preserve">représente moins de 0,1% des prélèvements du département </w:t>
      </w:r>
      <w:r w:rsidR="000F367A" w:rsidRPr="000F367A">
        <w:t>(</w:t>
      </w:r>
      <w:r w:rsidR="001C70DE" w:rsidRPr="000F367A">
        <w:t>et non 8</w:t>
      </w:r>
      <w:r w:rsidR="009E4B3B" w:rsidRPr="000F367A">
        <w:t xml:space="preserve"> </w:t>
      </w:r>
      <w:r w:rsidR="001C70DE" w:rsidRPr="000F367A">
        <w:t>% comme l’a</w:t>
      </w:r>
      <w:r w:rsidR="000F367A" w:rsidRPr="000F367A">
        <w:t xml:space="preserve"> écrit </w:t>
      </w:r>
      <w:r w:rsidR="001C70DE" w:rsidRPr="000F367A">
        <w:t>la cour des comptes</w:t>
      </w:r>
      <w:r w:rsidR="000F367A" w:rsidRPr="000F367A">
        <w:t>)</w:t>
      </w:r>
      <w:r w:rsidR="001C70DE" w:rsidRPr="000F367A">
        <w:t>.</w:t>
      </w:r>
      <w:r w:rsidR="00C644BC">
        <w:t xml:space="preserve"> </w:t>
      </w:r>
      <w:r w:rsidR="00B14C54">
        <w:t xml:space="preserve">Cette </w:t>
      </w:r>
      <w:r w:rsidR="00C644BC">
        <w:t xml:space="preserve">eau </w:t>
      </w:r>
      <w:r>
        <w:t xml:space="preserve">est prélevée pour l’essentiel dans les eaux de surface et </w:t>
      </w:r>
      <w:r w:rsidR="00B14C54">
        <w:t xml:space="preserve">se trouve </w:t>
      </w:r>
      <w:r w:rsidR="00F35893">
        <w:t>rendue</w:t>
      </w:r>
      <w:r>
        <w:t xml:space="preserve"> au milieu naturel à la fonte des neiges.</w:t>
      </w:r>
      <w:r w:rsidR="00B14C54">
        <w:t xml:space="preserve"> Il n’y a pas lieu de </w:t>
      </w:r>
      <w:r w:rsidR="00F35893">
        <w:t>faire d’amalgame</w:t>
      </w:r>
      <w:r w:rsidR="00B14C54">
        <w:t xml:space="preserve"> avec l‘eau que l’agriculture </w:t>
      </w:r>
      <w:r w:rsidR="00F35893">
        <w:t xml:space="preserve">de plaine </w:t>
      </w:r>
      <w:r w:rsidR="00B14C54">
        <w:t>puise dans les nappes phréatiques.</w:t>
      </w:r>
    </w:p>
    <w:p w14:paraId="3F6ADE98" w14:textId="26E73FB7" w:rsidR="00C644BC" w:rsidRDefault="00AB538E" w:rsidP="00C644BC">
      <w:pPr>
        <w:jc w:val="both"/>
      </w:pPr>
      <w:r>
        <w:t>C</w:t>
      </w:r>
      <w:r w:rsidR="00C644BC">
        <w:t xml:space="preserve">ontrairement aux dires de la Cour des Comptes, les contraintes administratives </w:t>
      </w:r>
      <w:r>
        <w:t xml:space="preserve">qui pèsent sur les </w:t>
      </w:r>
      <w:r w:rsidR="00C644BC">
        <w:t xml:space="preserve">projets de retenues d’altitudes sont extrêmement </w:t>
      </w:r>
      <w:r>
        <w:t>lourdes</w:t>
      </w:r>
      <w:r w:rsidR="00C644BC">
        <w:t xml:space="preserve">. En </w:t>
      </w:r>
      <w:r>
        <w:t>outre il faut rappeler que</w:t>
      </w:r>
      <w:r w:rsidR="00C644BC">
        <w:t xml:space="preserve"> l</w:t>
      </w:r>
      <w:r>
        <w:t>e</w:t>
      </w:r>
      <w:r w:rsidR="00C644BC">
        <w:t xml:space="preserve"> cadre normatif français sur le prélèvement d’eau prend déjà en compte les effets du réchauffement climatique et </w:t>
      </w:r>
      <w:r>
        <w:t xml:space="preserve">que </w:t>
      </w:r>
      <w:r w:rsidR="00C644BC">
        <w:t xml:space="preserve">plus aucune retenue d’altitude n’est envisagée </w:t>
      </w:r>
      <w:r>
        <w:t xml:space="preserve">aujourd’hui </w:t>
      </w:r>
      <w:r w:rsidR="00C644BC">
        <w:t>pour la seule production de neige de culture</w:t>
      </w:r>
      <w:r>
        <w:t>.</w:t>
      </w:r>
    </w:p>
    <w:p w14:paraId="7E75F593" w14:textId="4ABE2FF2" w:rsidR="00C644BC" w:rsidRDefault="00F35893" w:rsidP="00C644BC">
      <w:pPr>
        <w:jc w:val="both"/>
      </w:pPr>
      <w:r>
        <w:t>A l’avenir, l</w:t>
      </w:r>
      <w:r w:rsidR="00AB538E">
        <w:t xml:space="preserve">a construction de territoires résilients </w:t>
      </w:r>
      <w:proofErr w:type="gramStart"/>
      <w:r w:rsidR="00AB538E">
        <w:t>au</w:t>
      </w:r>
      <w:proofErr w:type="gramEnd"/>
      <w:r w:rsidR="00AB538E">
        <w:t xml:space="preserve"> plan hydrique passera par un regard moins dogmatique sur les usages socio-économiques de l’eau (industrie, agriculture, tourisme, hydro-électricité), et notamment sur les stratégies de rétention des eaux de surface à la période de plus forte abondance, </w:t>
      </w:r>
      <w:r>
        <w:t>comme</w:t>
      </w:r>
      <w:r w:rsidR="00AB538E">
        <w:t xml:space="preserve"> </w:t>
      </w:r>
      <w:r>
        <w:t>les montagnards le pratiquent depuis de décennies</w:t>
      </w:r>
      <w:r w:rsidR="00AB538E">
        <w:t>.</w:t>
      </w:r>
    </w:p>
    <w:p w14:paraId="5365FDC0" w14:textId="5CF771F6" w:rsidR="006A353E" w:rsidRPr="00B45061" w:rsidRDefault="006A353E" w:rsidP="00C644BC">
      <w:pPr>
        <w:pStyle w:val="Paragraphedeliste"/>
        <w:numPr>
          <w:ilvl w:val="0"/>
          <w:numId w:val="1"/>
        </w:numPr>
        <w:jc w:val="both"/>
        <w:rPr>
          <w:b/>
          <w:bCs/>
        </w:rPr>
      </w:pPr>
      <w:r w:rsidRPr="00B45061">
        <w:rPr>
          <w:b/>
          <w:bCs/>
        </w:rPr>
        <w:t>Concernant la publication d’un score de vulnérabilité </w:t>
      </w:r>
    </w:p>
    <w:p w14:paraId="29B74D42" w14:textId="1633BE92" w:rsidR="00F92E17" w:rsidRDefault="000F367A" w:rsidP="00C644BC">
      <w:pPr>
        <w:jc w:val="both"/>
      </w:pPr>
      <w:r>
        <w:t>Les</w:t>
      </w:r>
      <w:r w:rsidR="008F0663">
        <w:t xml:space="preserve"> « scores de vulnérabilité » </w:t>
      </w:r>
      <w:r>
        <w:t xml:space="preserve">attribués par la Cour des Comptes </w:t>
      </w:r>
      <w:r w:rsidR="008F0663">
        <w:t>aux stations</w:t>
      </w:r>
      <w:r w:rsidR="00B14C54">
        <w:t xml:space="preserve"> </w:t>
      </w:r>
      <w:r w:rsidR="008F0663">
        <w:t>comport</w:t>
      </w:r>
      <w:r w:rsidR="00B14C54">
        <w:t>e</w:t>
      </w:r>
      <w:r w:rsidR="008F0663">
        <w:t>nt des incohérences manifeste</w:t>
      </w:r>
      <w:r w:rsidR="008C5CFE">
        <w:t>s</w:t>
      </w:r>
      <w:r>
        <w:t>. A l’évidence, la méthodologie déployée ne prend pas en compte la réalité du terrain et d’ailleurs</w:t>
      </w:r>
      <w:r w:rsidR="00F92E17">
        <w:t xml:space="preserve">, aucune lecture contradictoire avec les stations auditionnées n’a </w:t>
      </w:r>
      <w:r w:rsidR="008C5CFE">
        <w:t xml:space="preserve">été </w:t>
      </w:r>
      <w:r w:rsidR="00F92E17">
        <w:t>menée</w:t>
      </w:r>
      <w:r w:rsidR="00B14C54">
        <w:t xml:space="preserve">, ce que nous </w:t>
      </w:r>
      <w:r w:rsidR="0052353A">
        <w:t xml:space="preserve">regrettons </w:t>
      </w:r>
      <w:r w:rsidR="00B14C54">
        <w:t>vivement.</w:t>
      </w:r>
    </w:p>
    <w:p w14:paraId="792D49FF" w14:textId="7D4225CF" w:rsidR="009E4B3B" w:rsidRPr="00F35893" w:rsidRDefault="000F367A" w:rsidP="000F367A">
      <w:pPr>
        <w:jc w:val="both"/>
      </w:pPr>
      <w:r>
        <w:t>On relève</w:t>
      </w:r>
      <w:r w:rsidR="00B046EF">
        <w:t xml:space="preserve"> </w:t>
      </w:r>
      <w:r>
        <w:t xml:space="preserve">par exemple, </w:t>
      </w:r>
      <w:r w:rsidR="00B046EF">
        <w:t xml:space="preserve">la présence </w:t>
      </w:r>
      <w:r w:rsidR="00B14C54">
        <w:t xml:space="preserve">dans le classement </w:t>
      </w:r>
      <w:r w:rsidR="00B046EF">
        <w:t>de stations fermées depuis une dizaine d’années</w:t>
      </w:r>
      <w:r>
        <w:t>,</w:t>
      </w:r>
      <w:r w:rsidR="00B14C54">
        <w:t xml:space="preserve"> l’attribution </w:t>
      </w:r>
      <w:r>
        <w:t xml:space="preserve">de </w:t>
      </w:r>
      <w:r w:rsidR="00B14C54">
        <w:t>score</w:t>
      </w:r>
      <w:r>
        <w:t>s</w:t>
      </w:r>
      <w:r w:rsidR="00B14C54">
        <w:t xml:space="preserve"> de vulnérabilité élevé</w:t>
      </w:r>
      <w:r>
        <w:t>s</w:t>
      </w:r>
      <w:r w:rsidR="00B14C54">
        <w:t xml:space="preserve"> à </w:t>
      </w:r>
      <w:r>
        <w:t xml:space="preserve">certaines </w:t>
      </w:r>
      <w:r w:rsidR="00B14C54">
        <w:t xml:space="preserve">stations </w:t>
      </w:r>
      <w:r>
        <w:t xml:space="preserve">qui sont </w:t>
      </w:r>
      <w:r w:rsidR="00B046EF">
        <w:t>économiquement pérennes</w:t>
      </w:r>
      <w:r>
        <w:t xml:space="preserve"> ou encore l’apparition d’une même station à plusieurs titres différents, avec des scores de vulnérabilité discordants.</w:t>
      </w:r>
    </w:p>
    <w:p w14:paraId="305E4FD2" w14:textId="77777777" w:rsidR="006A353E" w:rsidRDefault="006A353E" w:rsidP="00C644BC">
      <w:pPr>
        <w:jc w:val="both"/>
      </w:pPr>
    </w:p>
    <w:sectPr w:rsidR="006A353E" w:rsidSect="00292C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CE84" w14:textId="77777777" w:rsidR="00292C3E" w:rsidRDefault="00292C3E" w:rsidP="00F94545">
      <w:pPr>
        <w:spacing w:after="0" w:line="240" w:lineRule="auto"/>
      </w:pPr>
      <w:r>
        <w:separator/>
      </w:r>
    </w:p>
  </w:endnote>
  <w:endnote w:type="continuationSeparator" w:id="0">
    <w:p w14:paraId="3B615003" w14:textId="77777777" w:rsidR="00292C3E" w:rsidRDefault="00292C3E" w:rsidP="00F9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54C7" w14:textId="77777777" w:rsidR="00292C3E" w:rsidRDefault="00292C3E" w:rsidP="00F94545">
      <w:pPr>
        <w:spacing w:after="0" w:line="240" w:lineRule="auto"/>
      </w:pPr>
      <w:r>
        <w:separator/>
      </w:r>
    </w:p>
  </w:footnote>
  <w:footnote w:type="continuationSeparator" w:id="0">
    <w:p w14:paraId="4D36C820" w14:textId="77777777" w:rsidR="00292C3E" w:rsidRDefault="00292C3E" w:rsidP="00F94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80E5A"/>
    <w:multiLevelType w:val="hybridMultilevel"/>
    <w:tmpl w:val="4C281A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011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3E"/>
    <w:rsid w:val="0007371B"/>
    <w:rsid w:val="000F367A"/>
    <w:rsid w:val="00115496"/>
    <w:rsid w:val="001315E6"/>
    <w:rsid w:val="001C70DE"/>
    <w:rsid w:val="0027398A"/>
    <w:rsid w:val="00281220"/>
    <w:rsid w:val="002864AA"/>
    <w:rsid w:val="00292C3E"/>
    <w:rsid w:val="002B3C0B"/>
    <w:rsid w:val="002F0889"/>
    <w:rsid w:val="004C25B9"/>
    <w:rsid w:val="0052353A"/>
    <w:rsid w:val="00616C1A"/>
    <w:rsid w:val="00654D88"/>
    <w:rsid w:val="006A353E"/>
    <w:rsid w:val="008C5CFE"/>
    <w:rsid w:val="008F0663"/>
    <w:rsid w:val="00927116"/>
    <w:rsid w:val="009B2D24"/>
    <w:rsid w:val="009E4B3B"/>
    <w:rsid w:val="00AB538E"/>
    <w:rsid w:val="00AE4305"/>
    <w:rsid w:val="00B046EF"/>
    <w:rsid w:val="00B14C54"/>
    <w:rsid w:val="00B45061"/>
    <w:rsid w:val="00BE2DC7"/>
    <w:rsid w:val="00C03ADC"/>
    <w:rsid w:val="00C644BC"/>
    <w:rsid w:val="00CF31CA"/>
    <w:rsid w:val="00D6518D"/>
    <w:rsid w:val="00D711BD"/>
    <w:rsid w:val="00E141DF"/>
    <w:rsid w:val="00EB36EC"/>
    <w:rsid w:val="00F35893"/>
    <w:rsid w:val="00F92E17"/>
    <w:rsid w:val="00F94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E40C"/>
  <w15:chartTrackingRefBased/>
  <w15:docId w15:val="{96177215-30E4-46BB-AB9E-CCE5E94F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53E"/>
    <w:pPr>
      <w:ind w:left="720"/>
      <w:contextualSpacing/>
    </w:pPr>
  </w:style>
  <w:style w:type="paragraph" w:styleId="Notedefin">
    <w:name w:val="endnote text"/>
    <w:basedOn w:val="Normal"/>
    <w:link w:val="NotedefinCar"/>
    <w:uiPriority w:val="99"/>
    <w:semiHidden/>
    <w:unhideWhenUsed/>
    <w:rsid w:val="00F94545"/>
    <w:pPr>
      <w:spacing w:after="0" w:line="240" w:lineRule="auto"/>
    </w:pPr>
    <w:rPr>
      <w:sz w:val="20"/>
      <w:szCs w:val="20"/>
    </w:rPr>
  </w:style>
  <w:style w:type="character" w:customStyle="1" w:styleId="NotedefinCar">
    <w:name w:val="Note de fin Car"/>
    <w:basedOn w:val="Policepardfaut"/>
    <w:link w:val="Notedefin"/>
    <w:uiPriority w:val="99"/>
    <w:semiHidden/>
    <w:rsid w:val="00F94545"/>
    <w:rPr>
      <w:sz w:val="20"/>
      <w:szCs w:val="20"/>
    </w:rPr>
  </w:style>
  <w:style w:type="character" w:styleId="Appeldenotedefin">
    <w:name w:val="endnote reference"/>
    <w:basedOn w:val="Policepardfaut"/>
    <w:uiPriority w:val="99"/>
    <w:semiHidden/>
    <w:unhideWhenUsed/>
    <w:rsid w:val="00F94545"/>
    <w:rPr>
      <w:vertAlign w:val="superscript"/>
    </w:rPr>
  </w:style>
  <w:style w:type="character" w:styleId="Lienhypertexte">
    <w:name w:val="Hyperlink"/>
    <w:basedOn w:val="Policepardfaut"/>
    <w:uiPriority w:val="99"/>
    <w:unhideWhenUsed/>
    <w:rsid w:val="008F0663"/>
    <w:rPr>
      <w:color w:val="0000FF" w:themeColor="hyperlink"/>
      <w:u w:val="single"/>
    </w:rPr>
  </w:style>
  <w:style w:type="character" w:styleId="Mentionnonrsolue">
    <w:name w:val="Unresolved Mention"/>
    <w:basedOn w:val="Policepardfaut"/>
    <w:uiPriority w:val="99"/>
    <w:semiHidden/>
    <w:unhideWhenUsed/>
    <w:rsid w:val="008F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41D7C6C46B54680F663A31B02240E" ma:contentTypeVersion="4" ma:contentTypeDescription="Crée un document." ma:contentTypeScope="" ma:versionID="87a7242ad60f4480c06bcca883730675">
  <xsd:schema xmlns:xsd="http://www.w3.org/2001/XMLSchema" xmlns:xs="http://www.w3.org/2001/XMLSchema" xmlns:p="http://schemas.microsoft.com/office/2006/metadata/properties" xmlns:ns3="1d119f50-d65a-4a7b-afb8-3abd2868233c" targetNamespace="http://schemas.microsoft.com/office/2006/metadata/properties" ma:root="true" ma:fieldsID="094cbf1b9196f1e40a19ba1eed3ee2cf" ns3:_="">
    <xsd:import namespace="1d119f50-d65a-4a7b-afb8-3abd2868233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19f50-d65a-4a7b-afb8-3abd28682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d119f50-d65a-4a7b-afb8-3abd2868233c" xsi:nil="true"/>
  </documentManagement>
</p:properties>
</file>

<file path=customXml/itemProps1.xml><?xml version="1.0" encoding="utf-8"?>
<ds:datastoreItem xmlns:ds="http://schemas.openxmlformats.org/officeDocument/2006/customXml" ds:itemID="{633F9F13-8D49-4902-A299-33C22EEFDA62}">
  <ds:schemaRefs>
    <ds:schemaRef ds:uri="http://schemas.microsoft.com/sharepoint/v3/contenttype/forms"/>
  </ds:schemaRefs>
</ds:datastoreItem>
</file>

<file path=customXml/itemProps2.xml><?xml version="1.0" encoding="utf-8"?>
<ds:datastoreItem xmlns:ds="http://schemas.openxmlformats.org/officeDocument/2006/customXml" ds:itemID="{9B907875-16CB-42A5-87B7-249B65EB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19f50-d65a-4a7b-afb8-3abd28682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409B1-8B1D-4EA6-B7F6-6D797FE041D2}">
  <ds:schemaRefs>
    <ds:schemaRef ds:uri="http://schemas.openxmlformats.org/officeDocument/2006/bibliography"/>
  </ds:schemaRefs>
</ds:datastoreItem>
</file>

<file path=customXml/itemProps4.xml><?xml version="1.0" encoding="utf-8"?>
<ds:datastoreItem xmlns:ds="http://schemas.openxmlformats.org/officeDocument/2006/customXml" ds:itemID="{70BD6E50-3855-4DA2-BCBE-589C23DB0128}">
  <ds:schemaRefs>
    <ds:schemaRef ds:uri="http://purl.org/dc/elements/1.1/"/>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d119f50-d65a-4a7b-afb8-3abd2868233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4845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RIOTTON</dc:creator>
  <cp:keywords/>
  <dc:description/>
  <cp:lastModifiedBy>Laurent REYNAUD</cp:lastModifiedBy>
  <cp:revision>2</cp:revision>
  <cp:lastPrinted>2024-02-05T14:02:00Z</cp:lastPrinted>
  <dcterms:created xsi:type="dcterms:W3CDTF">2024-02-06T06:59:00Z</dcterms:created>
  <dcterms:modified xsi:type="dcterms:W3CDTF">2024-02-06T06:59:00Z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0x01010058441D7C6C46B54680F663A31B02240E</vt:lpwstr>
  </property>
</Properties>
</file>